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134F8" w14:textId="62D8AB48" w:rsidR="007A7DCA" w:rsidRPr="000C7611" w:rsidRDefault="000C7611" w:rsidP="000C7611">
      <w:pPr>
        <w:jc w:val="center"/>
        <w:rPr>
          <w:b/>
          <w:bCs/>
        </w:rPr>
      </w:pPr>
      <w:r w:rsidRPr="000C7611">
        <w:rPr>
          <w:b/>
          <w:bCs/>
        </w:rPr>
        <w:t>Discussion de la thèse d’</w:t>
      </w:r>
      <w:proofErr w:type="spellStart"/>
      <w:r w:rsidRPr="000C7611">
        <w:rPr>
          <w:b/>
          <w:bCs/>
        </w:rPr>
        <w:t>Epicure</w:t>
      </w:r>
      <w:proofErr w:type="spellEnd"/>
      <w:r w:rsidRPr="000C7611">
        <w:rPr>
          <w:b/>
          <w:bCs/>
        </w:rPr>
        <w:t> : la mort n’est rien pour nous.</w:t>
      </w:r>
    </w:p>
    <w:p w14:paraId="79E7B69C" w14:textId="49557A14" w:rsidR="000C7611" w:rsidRDefault="000C7611"/>
    <w:p w14:paraId="7DED3AB1" w14:textId="0B45D6B9" w:rsidR="000C7611" w:rsidRDefault="000C7611" w:rsidP="000C7611">
      <w:r>
        <w:t>« Accoutume-toi à penser que la mort n’est rien pour nous. En effet, tout bien et tout mal résident dans la sensation, alors que la mort est absence de sensation. En conséquence, la connaissance correcte que la mort n’est rien pour nous rend la condition mortelle de notre vie joyeuse, non</w:t>
      </w:r>
      <w:r>
        <w:t xml:space="preserve"> </w:t>
      </w:r>
      <w:r>
        <w:t>en ajoutant un temps infini mais en nous débarrassant du désir d’immortalité. Car il n’y a rien d’effrayant à vivre pour celui qui a correctement compris qu’il n’y a rien d’effrayant dans le fait de ne pas vivre. « Il parle donc vainement, celui qui dit qu’il craint la mort, non parce qu’il souffrira quand elle sera là, mais parce qu’il souffre qu’elle doive venir. Car si une chose ne cause aucune perturbation quand elle est présente, il est vain de souffrir parce qu’on l’attend. Donc le plus terrifiant des maux, la mort, n’est rien pour nous, puisque, tant que nous existons, la mort n’est pas présente, et que lorsque la mort est présente, nous n’existons plus. Ainsi n’est-elle rien ni pour les vivants ni pour les disparus, puisque pour les premiers elle n’est pas, et que les seconds ne sont plus. « Mais la plupart des gens fuient parfois la mort comme le plus grand des maux, alors</w:t>
      </w:r>
      <w:r>
        <w:t xml:space="preserve"> </w:t>
      </w:r>
      <w:r>
        <w:t>que parfois &lt;ils la choisissent&gt; comme libération des &lt;maux&gt; de la vie. &lt;Mais le sage ni ne repousse la vie&gt; ni ne craint de ne pas vivre. Car il ne pense ni que vivre est ennuyeux, ni que ne pas vivre est un mal.</w:t>
      </w:r>
    </w:p>
    <w:p w14:paraId="10F19E33" w14:textId="77777777" w:rsidR="000C7611" w:rsidRDefault="000C7611" w:rsidP="000C7611"/>
    <w:p w14:paraId="6F393165" w14:textId="03D8AC17" w:rsidR="000C7611" w:rsidRPr="000C7611" w:rsidRDefault="000C7611" w:rsidP="000C7611">
      <w:pPr>
        <w:rPr>
          <w:i/>
          <w:iCs/>
        </w:rPr>
      </w:pPr>
      <w:proofErr w:type="spellStart"/>
      <w:r>
        <w:t>Epicure</w:t>
      </w:r>
      <w:proofErr w:type="spellEnd"/>
      <w:r>
        <w:t xml:space="preserve">, </w:t>
      </w:r>
      <w:r w:rsidRPr="000C7611">
        <w:rPr>
          <w:i/>
          <w:iCs/>
        </w:rPr>
        <w:t>Lettre à Ménécée.</w:t>
      </w:r>
    </w:p>
    <w:sectPr w:rsidR="000C7611" w:rsidRPr="000C76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611"/>
    <w:rsid w:val="000B7BDD"/>
    <w:rsid w:val="000C7611"/>
    <w:rsid w:val="00414D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393367A"/>
  <w15:chartTrackingRefBased/>
  <w15:docId w15:val="{C75098B6-1694-1249-BD7D-705EADB0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229</Words>
  <Characters>1264</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pascal.ludwig@icloud.com</dc:creator>
  <cp:keywords/>
  <dc:description/>
  <cp:lastModifiedBy>pascal.ludwig@icloud.com</cp:lastModifiedBy>
  <cp:revision>1</cp:revision>
  <dcterms:created xsi:type="dcterms:W3CDTF">2024-10-07T06:32:00Z</dcterms:created>
  <dcterms:modified xsi:type="dcterms:W3CDTF">2024-10-07T06:34:00Z</dcterms:modified>
</cp:coreProperties>
</file>