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1C717" w14:textId="114FA3A2" w:rsidR="007A7DCA" w:rsidRPr="007F049D" w:rsidRDefault="007F049D" w:rsidP="007F049D">
      <w:pPr>
        <w:jc w:val="center"/>
        <w:rPr>
          <w:b/>
          <w:bCs/>
        </w:rPr>
      </w:pPr>
      <w:r w:rsidRPr="007F049D">
        <w:rPr>
          <w:b/>
          <w:bCs/>
        </w:rPr>
        <w:t>Lettres d’Elisabeth à Descartes sur les relations entre l’esprit et le corps</w:t>
      </w:r>
    </w:p>
    <w:p w14:paraId="69C6A60F" w14:textId="04DD79B9" w:rsidR="007F049D" w:rsidRDefault="007F049D"/>
    <w:p w14:paraId="2FF9B35A" w14:textId="7C6EBB7B" w:rsidR="007F049D" w:rsidRDefault="007F049D" w:rsidP="007F049D">
      <w:r>
        <w:t>Texte 1 :</w:t>
      </w:r>
    </w:p>
    <w:p w14:paraId="69A8F09C" w14:textId="77777777" w:rsidR="007F049D" w:rsidRDefault="007F049D" w:rsidP="007F049D"/>
    <w:p w14:paraId="18B7CB97" w14:textId="1480E6BC" w:rsidR="007F049D" w:rsidRDefault="007F049D" w:rsidP="007F049D">
      <w:r>
        <w:t>« [Je vous prie] de me dire comment l’âme de l’homme peut déterminer les esprits du corps, pour faire les actions volontaires (n’étant qu’une substance pensante). Car il semble que toute détermination de mouvement se fait par la pulsion de la chose mue, à manière dont elle est poussée par celle qui la meut, ou bien de la qualification</w:t>
      </w:r>
      <w:r>
        <w:t xml:space="preserve"> </w:t>
      </w:r>
      <w:r>
        <w:t>et figure de la superficie de cette dernière4. L’attouchement est requis aux deux premières conditions, et l’extension à la troisième. Vous excluez entièrement celle-ci de la notion que vous avez de l’âme, et celui-là me paraît incompatible avec une chose immatérielle. »</w:t>
      </w:r>
    </w:p>
    <w:p w14:paraId="30207232" w14:textId="67C9AEF8" w:rsidR="007F049D" w:rsidRDefault="007F049D" w:rsidP="007F049D"/>
    <w:p w14:paraId="3F4A52E2" w14:textId="09D8A658" w:rsidR="007F049D" w:rsidRDefault="007F049D" w:rsidP="007F049D">
      <w:r>
        <w:t>Texte 2 :</w:t>
      </w:r>
    </w:p>
    <w:p w14:paraId="577242FA" w14:textId="558055D3" w:rsidR="007F049D" w:rsidRDefault="007F049D" w:rsidP="007F049D"/>
    <w:p w14:paraId="0C8B1097" w14:textId="285D2D0D" w:rsidR="007F049D" w:rsidRDefault="007F049D" w:rsidP="007F049D">
      <w:r>
        <w:t>« [Je ne peux] comprendre l’idée par laquelle nous devons juger comment l’âme (non étendue et immatérielle) peut mouvoir le corps. […] « Et j’avoue qu’il me serait plus facile de concéder la matière et l’extension à l’âme, que la capacité de mouvoir un corps et d’en être ému, à un être immatériel. […] [Il est] très difficile à comprendre qu’une âme, comme vous l’avez décrite, après avoir eu la faculté et l’habitude de bien raisonner, peut perdre tout cela par quelques vapeurs, et que, pouvant subsister sans le corps et n’ayant rien de commun avec lui, elle en soit tellement régie. »</w:t>
      </w:r>
    </w:p>
    <w:p w14:paraId="4E082408" w14:textId="77777777" w:rsidR="007F049D" w:rsidRDefault="007F049D" w:rsidP="007F049D"/>
    <w:p w14:paraId="5E0A0E29" w14:textId="77777777" w:rsidR="007F049D" w:rsidRDefault="007F049D" w:rsidP="007F049D"/>
    <w:p w14:paraId="3F9373BE" w14:textId="5ADE085E" w:rsidR="007F049D" w:rsidRDefault="007F049D" w:rsidP="007F049D"/>
    <w:sectPr w:rsidR="007F0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9D"/>
    <w:rsid w:val="000B7BDD"/>
    <w:rsid w:val="00414D75"/>
    <w:rsid w:val="007F04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AF51F74"/>
  <w15:chartTrackingRefBased/>
  <w15:docId w15:val="{ACCB7A22-70AB-9444-99FB-E25F46F6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1103</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pascal.ludwig@icloud.com</dc:creator>
  <cp:keywords/>
  <dc:description/>
  <cp:lastModifiedBy>pascal.ludwig@icloud.com</cp:lastModifiedBy>
  <cp:revision>1</cp:revision>
  <dcterms:created xsi:type="dcterms:W3CDTF">2024-10-07T06:44:00Z</dcterms:created>
  <dcterms:modified xsi:type="dcterms:W3CDTF">2024-10-07T06:47:00Z</dcterms:modified>
</cp:coreProperties>
</file>